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79B2" w:rsidRDefault="00702E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>Załącznik nr 6 do ZW 121/2020</w:t>
      </w:r>
    </w:p>
    <w:tbl>
      <w:tblPr>
        <w:tblStyle w:val="af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379B2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</w:t>
            </w:r>
            <w:r>
              <w:rPr>
                <w:b/>
              </w:rPr>
              <w:t>A</w:t>
            </w:r>
          </w:p>
          <w:p w:rsidR="00C379B2" w:rsidRDefault="00702E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C379B2" w:rsidRDefault="00702E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w języku polskim:      Zarządzanie procesami informatyzacji</w:t>
            </w:r>
          </w:p>
          <w:p w:rsidR="00C379B2" w:rsidRDefault="00702E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w języku angielskim: </w:t>
            </w:r>
            <w:r>
              <w:rPr>
                <w:b/>
              </w:rPr>
              <w:t xml:space="preserve">Information </w:t>
            </w:r>
            <w:proofErr w:type="spellStart"/>
            <w:r>
              <w:rPr>
                <w:b/>
              </w:rPr>
              <w:t>process</w:t>
            </w:r>
            <w:proofErr w:type="spellEnd"/>
            <w:r>
              <w:rPr>
                <w:b/>
              </w:rPr>
              <w:t xml:space="preserve"> management</w:t>
            </w:r>
          </w:p>
          <w:p w:rsidR="00C379B2" w:rsidRDefault="00702E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Kierunek studiów: Inżynieria </w:t>
            </w:r>
            <w:r>
              <w:rPr>
                <w:b/>
              </w:rPr>
              <w:t>z</w:t>
            </w:r>
            <w:r>
              <w:rPr>
                <w:b/>
                <w:color w:val="000000"/>
              </w:rPr>
              <w:t>arządzania</w:t>
            </w:r>
          </w:p>
          <w:p w:rsidR="00C379B2" w:rsidRDefault="00702E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trike/>
                <w:color w:val="FF0000"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Stopień studiów i forma:</w:t>
            </w:r>
            <w:r>
              <w:rPr>
                <w:b/>
                <w:color w:val="000000"/>
              </w:rPr>
              <w:tab/>
              <w:t>I stopień, stacjonarna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obowiązkowy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6F3429" w:rsidRPr="006F3429">
              <w:rPr>
                <w:b/>
                <w:color w:val="000000"/>
              </w:rPr>
              <w:t>W08IZZ-SI0049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kursów:                     NIE</w:t>
            </w:r>
          </w:p>
        </w:tc>
      </w:tr>
    </w:tbl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8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156AF1" w:rsidTr="004F2C6B">
        <w:tc>
          <w:tcPr>
            <w:tcW w:w="2802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156AF1" w:rsidTr="004F2C6B">
        <w:tc>
          <w:tcPr>
            <w:tcW w:w="2802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  <w:tr w:rsidR="00156AF1" w:rsidTr="004F2C6B">
        <w:tc>
          <w:tcPr>
            <w:tcW w:w="2802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156AF1" w:rsidRDefault="00BC1A05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67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156AF1" w:rsidRDefault="00BC1A05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</w:tr>
      <w:tr w:rsidR="00156AF1" w:rsidTr="004F2C6B">
        <w:tc>
          <w:tcPr>
            <w:tcW w:w="2802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</w:tr>
      <w:tr w:rsidR="00156AF1" w:rsidTr="004F2C6B">
        <w:tc>
          <w:tcPr>
            <w:tcW w:w="2802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56AF1" w:rsidTr="004F2C6B">
        <w:tc>
          <w:tcPr>
            <w:tcW w:w="2802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156AF1" w:rsidTr="004F2C6B">
        <w:tc>
          <w:tcPr>
            <w:tcW w:w="2802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156AF1" w:rsidTr="004F2C6B">
        <w:tc>
          <w:tcPr>
            <w:tcW w:w="2802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BC1A05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267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156AF1" w:rsidRDefault="00156AF1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BC1A05">
              <w:rPr>
                <w:b/>
                <w:color w:val="000000"/>
                <w:sz w:val="22"/>
                <w:szCs w:val="22"/>
              </w:rPr>
              <w:t>6</w:t>
            </w:r>
            <w:bookmarkStart w:id="0" w:name="_GoBack"/>
            <w:bookmarkEnd w:id="0"/>
          </w:p>
        </w:tc>
      </w:tr>
    </w:tbl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379B2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INNYCH KOMPETENCJI</w:t>
            </w:r>
          </w:p>
          <w:p w:rsidR="00C379B2" w:rsidRDefault="00702E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Znajomość metod analizy i modelowania procesów biznesowych.</w:t>
            </w:r>
          </w:p>
          <w:p w:rsidR="00C379B2" w:rsidRDefault="00702E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Umiejętność specyfikacji wymagań SIZ.</w:t>
            </w:r>
          </w:p>
          <w:p w:rsidR="00C379B2" w:rsidRDefault="00702E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Znajomość podstaw zarządzania projektami</w:t>
            </w:r>
          </w:p>
        </w:tc>
      </w:tr>
    </w:tbl>
    <w:p w:rsidR="00C379B2" w:rsidRDefault="00C379B2" w:rsidP="00702E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  <w:sz w:val="22"/>
          <w:szCs w:val="22"/>
        </w:rPr>
      </w:pPr>
    </w:p>
    <w:tbl>
      <w:tblPr>
        <w:tblStyle w:val="aff0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C379B2">
        <w:tc>
          <w:tcPr>
            <w:tcW w:w="9210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C1. Znajomość modeli cyklu życia aplikacji.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C2. Znajomość metod szacowania wielkości aplikacji i szacowania nakładów.</w:t>
            </w:r>
          </w:p>
          <w:p w:rsidR="00C379B2" w:rsidRDefault="00702E0D" w:rsidP="00156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C3. Znajomość modeli i standardów strategicznego dopasowania informatyzacji do organizacji.</w:t>
            </w:r>
          </w:p>
        </w:tc>
      </w:tr>
    </w:tbl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tbl>
      <w:tblPr>
        <w:tblStyle w:val="aff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379B2" w:rsidTr="00156AF1">
        <w:trPr>
          <w:trHeight w:val="25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9B2" w:rsidRDefault="00702E0D">
            <w:pPr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wiedzy: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 – zna modele cyklu życia oprogramowania.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PEU_W02 – zna metody szacowania wielkości aplikacji i szacowania nakładów.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PEU_W03 – zna metody formułowania uzasadnienia biznesowego projektu informatycznego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PEU_W04 – zna modele i standardy dopasowania informatyzacji do strategii organizacji.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umiejętności: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 – potrafi dokonać wyboru modelu cyklu życia oprogramowania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PEU_U02 - potrafi obliczyć wielkość aplikacji i oszacować nakład tworzenia aplikacji</w:t>
            </w:r>
          </w:p>
          <w:p w:rsidR="00C379B2" w:rsidRDefault="00702E0D" w:rsidP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PEU_U03 – potrafi sformułować uzasadnienie biznesowe projektu informatycznego</w:t>
            </w:r>
          </w:p>
        </w:tc>
      </w:tr>
    </w:tbl>
    <w:p w:rsidR="00C379B2" w:rsidRDefault="00C379B2" w:rsidP="00702E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  <w:vertAlign w:val="superscript"/>
        </w:rPr>
      </w:pPr>
    </w:p>
    <w:tbl>
      <w:tblPr>
        <w:tblStyle w:val="af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C379B2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TREŚCI PROGRAMOWE</w:t>
            </w:r>
          </w:p>
        </w:tc>
      </w:tr>
      <w:tr w:rsidR="00C379B2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9B2" w:rsidRDefault="00702E0D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–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9B2" w:rsidRDefault="00702E0D">
            <w:pPr>
              <w:keepNext/>
              <w:numPr>
                <w:ilvl w:val="4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Liczba godzin </w:t>
            </w:r>
          </w:p>
        </w:tc>
      </w:tr>
      <w:tr w:rsidR="00C379B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 godzina: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Informacje organizacyjne, zasady i warunki zaliczenia.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Wprowadzenie: Procesy informacyjne organizacji. 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 godziny: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Wybrane problemy zarządzania wdrożeniem SIZ (zakres, opłacalność, spójność IT-biznes, szacowanie nakładów, wybór metody zarządzania projektem IT). Sekwencyjne i ewolucyjne modele cyklu życia tworzenia i rozwoju oprogramowania.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C379B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 szacowania wielkości i złożoności oprogramowania - przykłady zastosowań. Metody szacowania nakładów tworzenia oprogramowania.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C379B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Metody stosowane do uzasadnienia biznesowego projektu informatycznego.  Zarządzanie wymaganiami oprogramowania.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C379B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Modele poziomów dojrzałości organizacji (CMMI). Obszary i modele strategicznego dopasowania IT-Organizacja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379B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Standardy strategicznego dopasowania informatyzacji do strategii zarządzania organizacją (ITIL, COBIT)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Wybrane aspekty klasycznego i nowoczesnego podejścia do zarządzania przedsięwzięciem  informatycznym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C379B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9B2" w:rsidRDefault="00C37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79B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9B2" w:rsidRDefault="00C37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</w:tbl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tbl>
      <w:tblPr>
        <w:tblStyle w:val="aff3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C379B2">
        <w:tc>
          <w:tcPr>
            <w:tcW w:w="7763" w:type="dxa"/>
            <w:gridSpan w:val="2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Liczba godzin</w:t>
            </w:r>
          </w:p>
        </w:tc>
      </w:tr>
      <w:tr w:rsidR="00C379B2">
        <w:tc>
          <w:tcPr>
            <w:tcW w:w="817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Se1</w:t>
            </w:r>
          </w:p>
        </w:tc>
        <w:tc>
          <w:tcPr>
            <w:tcW w:w="6946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Ustalenie zespołów studenckich. 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Wybór tematu - problemu zarządzania informatyzacją.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Akceptacja przykładów i wybranych metod do rozwiązania wybranego problemu zarządzania informatyzacją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Plan prezentacji.</w:t>
            </w:r>
          </w:p>
        </w:tc>
        <w:tc>
          <w:tcPr>
            <w:tcW w:w="1447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C379B2">
        <w:tc>
          <w:tcPr>
            <w:tcW w:w="817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Se2</w:t>
            </w:r>
          </w:p>
        </w:tc>
        <w:tc>
          <w:tcPr>
            <w:tcW w:w="6946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Wybór modelu cyklu życia projektu IT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Obliczenie wielkości oprogramowania.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Prezentacja i dyskusja.</w:t>
            </w:r>
          </w:p>
        </w:tc>
        <w:tc>
          <w:tcPr>
            <w:tcW w:w="1447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C379B2">
        <w:tc>
          <w:tcPr>
            <w:tcW w:w="817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Se3</w:t>
            </w:r>
          </w:p>
        </w:tc>
        <w:tc>
          <w:tcPr>
            <w:tcW w:w="6946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Szacowanie nakładów projektu IT 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Prezentacja i dyskusja.</w:t>
            </w:r>
          </w:p>
        </w:tc>
        <w:tc>
          <w:tcPr>
            <w:tcW w:w="1447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C379B2">
        <w:tc>
          <w:tcPr>
            <w:tcW w:w="817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Se4</w:t>
            </w:r>
          </w:p>
        </w:tc>
        <w:tc>
          <w:tcPr>
            <w:tcW w:w="6946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Sformułowanie uzasadnienia biznesowego projektu informatycznego.  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Wybrane aspekty zarządzania wymaganiami oprogramowania. 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Prezentacja i dyskusja.</w:t>
            </w:r>
          </w:p>
        </w:tc>
        <w:tc>
          <w:tcPr>
            <w:tcW w:w="1447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C379B2">
        <w:tc>
          <w:tcPr>
            <w:tcW w:w="817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Se5</w:t>
            </w:r>
          </w:p>
        </w:tc>
        <w:tc>
          <w:tcPr>
            <w:tcW w:w="6946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Opis i analiza zastosowania modelu/standardu dopasowania strategicznego IT – organizacja.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Prezentacja i dyskusja.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Wystawienie ocen.</w:t>
            </w:r>
          </w:p>
        </w:tc>
        <w:tc>
          <w:tcPr>
            <w:tcW w:w="1447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</w:tr>
      <w:tr w:rsidR="00C379B2">
        <w:tc>
          <w:tcPr>
            <w:tcW w:w="817" w:type="dxa"/>
          </w:tcPr>
          <w:p w:rsidR="00C379B2" w:rsidRDefault="00C37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tbl>
      <w:tblPr>
        <w:tblStyle w:val="aff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379B2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9B2" w:rsidRDefault="00702E0D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STOSOWANE NARZĘDZIA DYDAKTYCZNE</w:t>
            </w:r>
          </w:p>
        </w:tc>
      </w:tr>
      <w:tr w:rsidR="00C379B2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N1. Wykład informacyjno-problemowy przy zastosowaniu prezentacji multimedialnej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N2. Materiały dydaktyczne do przedmiotu (wykład i seminarium) publikowane na </w:t>
            </w:r>
            <w:proofErr w:type="spellStart"/>
            <w:r>
              <w:rPr>
                <w:color w:val="000000"/>
                <w:sz w:val="22"/>
                <w:szCs w:val="22"/>
              </w:rPr>
              <w:t>ePortalu</w:t>
            </w:r>
            <w:proofErr w:type="spellEnd"/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N3. Dyskusja podczas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wykładu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N4. Zespołowa analiza wyszukanego przypadku zastosowania metody z wybranej kategorii tematycznej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N5. Instruktaż opracowania wybranego zagadnienia podczas seminarium i konsultacji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N6. Przedstawienie udokumentowanej prezentacji podczas seminarium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N7. Dyskusja problemowa podczas seminarium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N8. Sprawdzian pisemny z pytaniami otwartymi</w:t>
            </w:r>
          </w:p>
        </w:tc>
      </w:tr>
    </w:tbl>
    <w:p w:rsidR="00C379B2" w:rsidRDefault="00702E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tbl>
      <w:tblPr>
        <w:tblStyle w:val="aff5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390"/>
        <w:gridCol w:w="4378"/>
      </w:tblGrid>
      <w:tr w:rsidR="00C379B2">
        <w:tc>
          <w:tcPr>
            <w:tcW w:w="2518" w:type="dxa"/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Oceny </w:t>
            </w:r>
            <w:r>
              <w:rPr>
                <w:color w:val="000000"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390" w:type="dxa"/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378" w:type="dxa"/>
            <w:vAlign w:val="center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kształcenia</w:t>
            </w:r>
          </w:p>
        </w:tc>
      </w:tr>
      <w:tr w:rsidR="00C379B2">
        <w:tc>
          <w:tcPr>
            <w:tcW w:w="2518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2390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PEU_U01,</w:t>
            </w:r>
            <w:r w:rsidR="00156AF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PEU_U02, </w:t>
            </w:r>
            <w:r>
              <w:rPr>
                <w:color w:val="000000"/>
                <w:sz w:val="22"/>
                <w:szCs w:val="22"/>
              </w:rPr>
              <w:br/>
              <w:t>PEU_U03, PEU_W04</w:t>
            </w:r>
          </w:p>
        </w:tc>
        <w:tc>
          <w:tcPr>
            <w:tcW w:w="4378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Prezentacja zespołowo opracowanego problemu z wybranej kategorii tematycznej w postaci </w:t>
            </w:r>
            <w:r>
              <w:rPr>
                <w:sz w:val="22"/>
                <w:szCs w:val="22"/>
              </w:rPr>
              <w:t>udokumentowanego opracowania w zakresie zastosowań IT</w:t>
            </w:r>
            <w:r>
              <w:rPr>
                <w:color w:val="000000"/>
                <w:sz w:val="22"/>
                <w:szCs w:val="22"/>
              </w:rPr>
              <w:t xml:space="preserve"> na przykładzie rzeczywistego obiektu</w:t>
            </w:r>
          </w:p>
        </w:tc>
      </w:tr>
      <w:tr w:rsidR="00C379B2">
        <w:tc>
          <w:tcPr>
            <w:tcW w:w="2518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2390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PEU_U01, PEU_U02, PEU_U03, PEU_W04</w:t>
            </w:r>
          </w:p>
        </w:tc>
        <w:tc>
          <w:tcPr>
            <w:tcW w:w="4378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Udział w dyskusji problemowej</w:t>
            </w:r>
          </w:p>
        </w:tc>
      </w:tr>
      <w:tr w:rsidR="00C379B2">
        <w:tc>
          <w:tcPr>
            <w:tcW w:w="2518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2390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PEU_W01, PEU_W02, PEU_W03, PEU_W04</w:t>
            </w:r>
          </w:p>
        </w:tc>
        <w:tc>
          <w:tcPr>
            <w:tcW w:w="4378" w:type="dxa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 zaliczeniowe</w:t>
            </w:r>
          </w:p>
        </w:tc>
      </w:tr>
      <w:tr w:rsidR="00C379B2">
        <w:tc>
          <w:tcPr>
            <w:tcW w:w="9286" w:type="dxa"/>
            <w:gridSpan w:val="3"/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(wykład) = F3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(seminarium) = 0,7F1 +0,3F2</w:t>
            </w:r>
          </w:p>
        </w:tc>
      </w:tr>
    </w:tbl>
    <w:p w:rsidR="00C379B2" w:rsidRDefault="00C37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379B2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9B2" w:rsidRDefault="00702E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C379B2">
        <w:trPr>
          <w:trHeight w:val="126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LITERATURA PODSTAWOWA:</w:t>
            </w:r>
          </w:p>
          <w:p w:rsidR="00C379B2" w:rsidRDefault="00702E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Applegate</w:t>
            </w:r>
            <w:proofErr w:type="spellEnd"/>
            <w:r>
              <w:rPr>
                <w:color w:val="000000"/>
              </w:rPr>
              <w:t xml:space="preserve"> L, Austin R. </w:t>
            </w:r>
            <w:proofErr w:type="spellStart"/>
            <w:r>
              <w:rPr>
                <w:color w:val="000000"/>
              </w:rPr>
              <w:t>McFarlan</w:t>
            </w:r>
            <w:proofErr w:type="spellEnd"/>
            <w:r>
              <w:rPr>
                <w:color w:val="000000"/>
              </w:rPr>
              <w:t xml:space="preserve"> M.,</w:t>
            </w:r>
            <w:r>
              <w:rPr>
                <w:color w:val="0000FF"/>
                <w:u w:val="single"/>
              </w:rPr>
              <w:t xml:space="preserve"> </w:t>
            </w:r>
            <w:proofErr w:type="spellStart"/>
            <w:r>
              <w:rPr>
                <w:color w:val="000000"/>
              </w:rPr>
              <w:t>Corporate</w:t>
            </w:r>
            <w:proofErr w:type="spellEnd"/>
            <w:r>
              <w:rPr>
                <w:color w:val="000000"/>
              </w:rPr>
              <w:t xml:space="preserve"> Information </w:t>
            </w:r>
            <w:proofErr w:type="spellStart"/>
            <w:r>
              <w:rPr>
                <w:color w:val="000000"/>
              </w:rPr>
              <w:t>Strategy</w:t>
            </w:r>
            <w:proofErr w:type="spellEnd"/>
            <w:r>
              <w:rPr>
                <w:color w:val="000000"/>
              </w:rPr>
              <w:t xml:space="preserve"> and Management: </w:t>
            </w:r>
            <w:proofErr w:type="spellStart"/>
            <w:r>
              <w:rPr>
                <w:color w:val="000000"/>
              </w:rPr>
              <w:t>Text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Cases</w:t>
            </w:r>
            <w:proofErr w:type="spellEnd"/>
            <w:r>
              <w:rPr>
                <w:color w:val="000000"/>
              </w:rPr>
              <w:t>, 8th Edition 2020</w:t>
            </w:r>
          </w:p>
          <w:p w:rsidR="00C379B2" w:rsidRDefault="00702E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Cadle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J, </w:t>
            </w:r>
            <w:proofErr w:type="spellStart"/>
            <w:r>
              <w:rPr>
                <w:color w:val="000000"/>
                <w:sz w:val="22"/>
                <w:szCs w:val="22"/>
              </w:rPr>
              <w:t>Yestes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D., Zarządzanie procesem tworzenia systemów informacyjnych, WNT 2004</w:t>
            </w:r>
          </w:p>
          <w:p w:rsidR="00C379B2" w:rsidRDefault="00702E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McConnel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S., Szacowanie oprogramowania. Kulisy czarnej magii, APN PROMISE 2006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LITERATURA UZUPEŁNIAJĄCA:</w:t>
            </w:r>
          </w:p>
          <w:p w:rsidR="00C379B2" w:rsidRDefault="00702E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BABOK V.3, A Guide to the Business Analysis Body of Knowledge, IIBA 2015</w:t>
            </w:r>
          </w:p>
          <w:p w:rsidR="00C379B2" w:rsidRDefault="00702E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COBIT 5, www.ctpartners.pl/wp-content/uploads/2015/10/COBIT5_whitepaper.pdf</w:t>
            </w:r>
          </w:p>
          <w:p w:rsidR="00C379B2" w:rsidRDefault="00702E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Garmus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D., </w:t>
            </w:r>
            <w:proofErr w:type="spellStart"/>
            <w:r>
              <w:rPr>
                <w:color w:val="000000"/>
                <w:sz w:val="22"/>
                <w:szCs w:val="22"/>
              </w:rPr>
              <w:t>Herron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D., </w:t>
            </w:r>
            <w:proofErr w:type="spellStart"/>
            <w:r>
              <w:rPr>
                <w:color w:val="000000"/>
                <w:sz w:val="22"/>
                <w:szCs w:val="22"/>
              </w:rPr>
              <w:t>Function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Point Analysis, Addison-Wesley 2001</w:t>
            </w:r>
          </w:p>
          <w:p w:rsidR="00C379B2" w:rsidRDefault="00702E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ITIL, www.ctpartners.pl/wp-content/uploads/2015/10/ITIL-whitepaper_PL-1.pdf</w:t>
            </w:r>
          </w:p>
          <w:p w:rsidR="00C379B2" w:rsidRDefault="00702E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 Guide to the Project Management Body of Knowledge, Project Management </w:t>
            </w:r>
            <w:proofErr w:type="spellStart"/>
            <w:r>
              <w:rPr>
                <w:color w:val="000000"/>
                <w:sz w:val="22"/>
                <w:szCs w:val="22"/>
              </w:rPr>
              <w:t>Institute</w:t>
            </w:r>
            <w:proofErr w:type="spellEnd"/>
            <w:r>
              <w:rPr>
                <w:color w:val="000000"/>
                <w:sz w:val="22"/>
                <w:szCs w:val="22"/>
              </w:rPr>
              <w:t>; Edycja 6th ed. 2017</w:t>
            </w:r>
          </w:p>
          <w:p w:rsidR="00C379B2" w:rsidRDefault="00BC1A0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8">
              <w:proofErr w:type="spellStart"/>
              <w:r w:rsidR="00702E0D">
                <w:rPr>
                  <w:color w:val="000000"/>
                </w:rPr>
                <w:t>Mohapatra</w:t>
              </w:r>
              <w:proofErr w:type="spellEnd"/>
            </w:hyperlink>
            <w:r w:rsidR="00702E0D">
              <w:rPr>
                <w:color w:val="000000"/>
              </w:rPr>
              <w:t xml:space="preserve"> S., Singh R., Inf</w:t>
            </w:r>
            <w:r w:rsidR="00702E0D">
              <w:rPr>
                <w:color w:val="000000"/>
                <w:sz w:val="22"/>
                <w:szCs w:val="22"/>
              </w:rPr>
              <w:t xml:space="preserve">ormation </w:t>
            </w:r>
            <w:proofErr w:type="spellStart"/>
            <w:r w:rsidR="00702E0D">
              <w:rPr>
                <w:color w:val="000000"/>
                <w:sz w:val="22"/>
                <w:szCs w:val="22"/>
              </w:rPr>
              <w:t>Strategy</w:t>
            </w:r>
            <w:proofErr w:type="spellEnd"/>
            <w:r w:rsidR="00702E0D">
              <w:rPr>
                <w:color w:val="000000"/>
                <w:sz w:val="22"/>
                <w:szCs w:val="22"/>
              </w:rPr>
              <w:t xml:space="preserve"> Design and </w:t>
            </w:r>
            <w:proofErr w:type="spellStart"/>
            <w:r w:rsidR="00702E0D">
              <w:rPr>
                <w:color w:val="000000"/>
                <w:sz w:val="22"/>
                <w:szCs w:val="22"/>
              </w:rPr>
              <w:t>Practices</w:t>
            </w:r>
            <w:proofErr w:type="spellEnd"/>
            <w:r w:rsidR="00702E0D">
              <w:rPr>
                <w:color w:val="000000"/>
                <w:sz w:val="22"/>
                <w:szCs w:val="22"/>
              </w:rPr>
              <w:t>, 2012</w:t>
            </w:r>
          </w:p>
          <w:p w:rsidR="00C379B2" w:rsidRDefault="00702E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Pressman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R.S., Praktyczne podejście do inżynierii oprogramowania, WNT 2004</w:t>
            </w:r>
          </w:p>
          <w:p w:rsidR="00C379B2" w:rsidRDefault="00702E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PMI, </w:t>
            </w:r>
            <w:proofErr w:type="spellStart"/>
            <w:r>
              <w:rPr>
                <w:color w:val="000000"/>
              </w:rPr>
              <w:t>Requirements</w:t>
            </w:r>
            <w:proofErr w:type="spellEnd"/>
            <w:r>
              <w:rPr>
                <w:color w:val="000000"/>
              </w:rPr>
              <w:t xml:space="preserve"> Management: A </w:t>
            </w:r>
            <w:proofErr w:type="spellStart"/>
            <w:r>
              <w:rPr>
                <w:color w:val="000000"/>
              </w:rPr>
              <w:t>Practice</w:t>
            </w:r>
            <w:proofErr w:type="spellEnd"/>
            <w:r>
              <w:rPr>
                <w:color w:val="000000"/>
              </w:rPr>
              <w:t xml:space="preserve"> Guide, 2016</w:t>
            </w:r>
          </w:p>
          <w:p w:rsidR="00C379B2" w:rsidRDefault="00702E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Stabryła A., Zarządzanie strategiczne w teorii i praktyce firmy, PWN 2016</w:t>
            </w:r>
          </w:p>
          <w:p w:rsidR="00C379B2" w:rsidRDefault="00702E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Żebrowski A., </w:t>
            </w:r>
            <w:r>
              <w:rPr>
                <w:i/>
                <w:color w:val="000000"/>
                <w:sz w:val="22"/>
                <w:szCs w:val="22"/>
              </w:rPr>
              <w:t>Ebook ISO20000 — Zarządzanie usługami IT zgodnie z zasadami sztuki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Wydawnictwo Wiedza i Praktyka, 2015</w:t>
            </w:r>
            <w:r>
              <w:rPr>
                <w:b/>
                <w:color w:val="000000"/>
                <w:sz w:val="36"/>
                <w:szCs w:val="36"/>
              </w:rPr>
              <w:t xml:space="preserve"> </w:t>
            </w:r>
          </w:p>
        </w:tc>
      </w:tr>
      <w:tr w:rsidR="00C379B2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156AF1">
              <w:rPr>
                <w:b/>
                <w:color w:val="000000"/>
                <w:sz w:val="22"/>
              </w:rPr>
              <w:t>OPIEKUN PRZEDMIOTU (IMIĘ, NAZWISKO, ADRES E-MAIL)</w:t>
            </w:r>
          </w:p>
        </w:tc>
      </w:tr>
      <w:tr w:rsidR="00C379B2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Grażyna </w:t>
            </w:r>
            <w:proofErr w:type="spellStart"/>
            <w:r>
              <w:rPr>
                <w:b/>
                <w:color w:val="000000"/>
              </w:rPr>
              <w:t>Hołodnik</w:t>
            </w:r>
            <w:proofErr w:type="spellEnd"/>
            <w:r>
              <w:rPr>
                <w:b/>
                <w:color w:val="000000"/>
              </w:rPr>
              <w:t>-Janczura, grazyna.holodnik-janczura@pwr.edu.pl</w:t>
            </w:r>
          </w:p>
          <w:p w:rsidR="00C379B2" w:rsidRDefault="00702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Joanna Kott, joanna.kott@pwr.edu.pl</w:t>
            </w:r>
          </w:p>
        </w:tc>
      </w:tr>
      <w:tr w:rsidR="00156A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F1" w:rsidRDefault="00156AF1" w:rsidP="00156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b/>
                <w:color w:val="000000"/>
              </w:rPr>
            </w:pPr>
          </w:p>
        </w:tc>
      </w:tr>
    </w:tbl>
    <w:p w:rsidR="00C379B2" w:rsidRDefault="00C379B2" w:rsidP="00156AF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b/>
        </w:rPr>
      </w:pPr>
    </w:p>
    <w:sectPr w:rsidR="00C379B2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C63" w:rsidRDefault="00702E0D">
      <w:pPr>
        <w:spacing w:line="240" w:lineRule="auto"/>
        <w:ind w:left="0" w:hanging="2"/>
      </w:pPr>
      <w:r>
        <w:separator/>
      </w:r>
    </w:p>
  </w:endnote>
  <w:endnote w:type="continuationSeparator" w:id="0">
    <w:p w:rsidR="00FA1C63" w:rsidRDefault="00702E0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9B2" w:rsidRDefault="00C379B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C63" w:rsidRDefault="00702E0D">
      <w:pPr>
        <w:spacing w:line="240" w:lineRule="auto"/>
        <w:ind w:left="0" w:hanging="2"/>
      </w:pPr>
      <w:r>
        <w:separator/>
      </w:r>
    </w:p>
  </w:footnote>
  <w:footnote w:type="continuationSeparator" w:id="0">
    <w:p w:rsidR="00FA1C63" w:rsidRDefault="00702E0D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D54CA"/>
    <w:multiLevelType w:val="multilevel"/>
    <w:tmpl w:val="1EF62B56"/>
    <w:lvl w:ilvl="0">
      <w:start w:val="1"/>
      <w:numFmt w:val="decimal"/>
      <w:lvlText w:val="[%1] "/>
      <w:lvlJc w:val="left"/>
      <w:pPr>
        <w:ind w:left="73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5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9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1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3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5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7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90" w:hanging="180"/>
      </w:pPr>
      <w:rPr>
        <w:vertAlign w:val="baseline"/>
      </w:rPr>
    </w:lvl>
  </w:abstractNum>
  <w:abstractNum w:abstractNumId="1" w15:restartNumberingAfterBreak="0">
    <w:nsid w:val="6B667E16"/>
    <w:multiLevelType w:val="multilevel"/>
    <w:tmpl w:val="DBA25A46"/>
    <w:lvl w:ilvl="0">
      <w:start w:val="1"/>
      <w:numFmt w:val="decimal"/>
      <w:pStyle w:val="Nagwek1"/>
      <w:lvlText w:val="%1."/>
      <w:lvlJc w:val="left"/>
      <w:pPr>
        <w:ind w:left="798" w:hanging="360"/>
      </w:pPr>
    </w:lvl>
    <w:lvl w:ilvl="1">
      <w:start w:val="1"/>
      <w:numFmt w:val="lowerLetter"/>
      <w:pStyle w:val="Nagwek2"/>
      <w:lvlText w:val="%2."/>
      <w:lvlJc w:val="left"/>
      <w:pPr>
        <w:ind w:left="1518" w:hanging="360"/>
      </w:pPr>
    </w:lvl>
    <w:lvl w:ilvl="2">
      <w:start w:val="1"/>
      <w:numFmt w:val="lowerRoman"/>
      <w:pStyle w:val="Nagwek3"/>
      <w:lvlText w:val="%3."/>
      <w:lvlJc w:val="right"/>
      <w:pPr>
        <w:ind w:left="2238" w:hanging="180"/>
      </w:pPr>
    </w:lvl>
    <w:lvl w:ilvl="3">
      <w:start w:val="1"/>
      <w:numFmt w:val="decimal"/>
      <w:pStyle w:val="Nagwek4"/>
      <w:lvlText w:val="%4."/>
      <w:lvlJc w:val="left"/>
      <w:pPr>
        <w:ind w:left="2958" w:hanging="360"/>
      </w:pPr>
    </w:lvl>
    <w:lvl w:ilvl="4">
      <w:start w:val="1"/>
      <w:numFmt w:val="lowerLetter"/>
      <w:pStyle w:val="Nagwek5"/>
      <w:lvlText w:val="%5."/>
      <w:lvlJc w:val="left"/>
      <w:pPr>
        <w:ind w:left="3678" w:hanging="360"/>
      </w:pPr>
    </w:lvl>
    <w:lvl w:ilvl="5">
      <w:start w:val="1"/>
      <w:numFmt w:val="lowerRoman"/>
      <w:pStyle w:val="Nagwek6"/>
      <w:lvlText w:val="%6."/>
      <w:lvlJc w:val="right"/>
      <w:pPr>
        <w:ind w:left="4398" w:hanging="180"/>
      </w:pPr>
    </w:lvl>
    <w:lvl w:ilvl="6">
      <w:start w:val="1"/>
      <w:numFmt w:val="decimal"/>
      <w:pStyle w:val="Nagwek7"/>
      <w:lvlText w:val="%7."/>
      <w:lvlJc w:val="left"/>
      <w:pPr>
        <w:ind w:left="5118" w:hanging="360"/>
      </w:pPr>
    </w:lvl>
    <w:lvl w:ilvl="7">
      <w:start w:val="1"/>
      <w:numFmt w:val="lowerLetter"/>
      <w:lvlText w:val="%8."/>
      <w:lvlJc w:val="left"/>
      <w:pPr>
        <w:ind w:left="5838" w:hanging="360"/>
      </w:pPr>
    </w:lvl>
    <w:lvl w:ilvl="8">
      <w:start w:val="1"/>
      <w:numFmt w:val="lowerRoman"/>
      <w:lvlText w:val="%9."/>
      <w:lvlJc w:val="right"/>
      <w:pPr>
        <w:ind w:left="6558" w:hanging="180"/>
      </w:pPr>
    </w:lvl>
  </w:abstractNum>
  <w:abstractNum w:abstractNumId="2" w15:restartNumberingAfterBreak="0">
    <w:nsid w:val="79CE2D46"/>
    <w:multiLevelType w:val="multilevel"/>
    <w:tmpl w:val="286E516C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9B2"/>
    <w:rsid w:val="00156AF1"/>
    <w:rsid w:val="006F3429"/>
    <w:rsid w:val="00702E0D"/>
    <w:rsid w:val="00BC1A05"/>
    <w:rsid w:val="00C379B2"/>
    <w:rsid w:val="00FA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3DC01"/>
  <w15:docId w15:val="{C48C1B61-00AA-495E-BC49-A895EC01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customStyle="1" w:styleId="Standard">
    <w:name w:val="Standard"/>
    <w:pPr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kern w:val="3"/>
      <w:position w:val="-1"/>
      <w:lang w:eastAsia="zh-CN" w:bidi="hi-IN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a-list-item">
    <w:name w:val="a-list-item"/>
    <w:rPr>
      <w:w w:val="100"/>
      <w:position w:val="-1"/>
      <w:effect w:val="none"/>
      <w:vertAlign w:val="baseline"/>
      <w:cs w:val="0"/>
      <w:em w:val="none"/>
    </w:rPr>
  </w:style>
  <w:style w:type="character" w:customStyle="1" w:styleId="a-size-extra-large">
    <w:name w:val="a-size-extra-large"/>
    <w:rPr>
      <w:w w:val="100"/>
      <w:position w:val="-1"/>
      <w:effect w:val="none"/>
      <w:vertAlign w:val="baseline"/>
      <w:cs w:val="0"/>
      <w:em w:val="none"/>
    </w:rPr>
  </w:style>
  <w:style w:type="character" w:customStyle="1" w:styleId="a-size-large">
    <w:name w:val="a-size-large"/>
    <w:rPr>
      <w:w w:val="100"/>
      <w:position w:val="-1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client=firefox-b-d&amp;sa=X&amp;biw=1483&amp;bih=840&amp;q=Sanjay+Mohapatra&amp;stick=H4sIAAAAAAAAAOPgE-LRT9c3NErKM8uxqDBR4gXxDJNNiy2yjVPKtWSyk630k_Lzs_XLizJLSlLz4svzi7KtEktLMvKLFrEKBCfmZSVWKvjmZyQWJJYUJe5gZQQAfzaCClMAAAA&amp;ved=2ahUKEwi8lL_L-5jvAhX3CRAIHYokBDIQmxMoATAQegQIDxA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25RBLzGso091TgycKLFIEJxCaQ==">AMUW2mUCBUudS8dsFdpvJ17esva5Aybkc6/8wx0NpE6YChwak3u+sr2iGqR63ImS7TfLY5fQLVOotlN4+jnBTlIz5Ne6nt5V/D10fQ4U8s/5rpOCH9LbiGLLGOvbCMKmeC5XqNPX/S3W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935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5</cp:revision>
  <dcterms:created xsi:type="dcterms:W3CDTF">2022-05-07T19:19:00Z</dcterms:created>
  <dcterms:modified xsi:type="dcterms:W3CDTF">2023-03-02T07:23:00Z</dcterms:modified>
</cp:coreProperties>
</file>